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97" w:type="dxa"/>
        <w:tblInd w:w="378" w:type="dxa"/>
        <w:tblLook w:val="04A0" w:firstRow="1" w:lastRow="0" w:firstColumn="1" w:lastColumn="0" w:noHBand="0" w:noVBand="1"/>
      </w:tblPr>
      <w:tblGrid>
        <w:gridCol w:w="8797"/>
      </w:tblGrid>
      <w:tr w:rsidR="00C66484" w:rsidRPr="00596816" w14:paraId="0DDF9116" w14:textId="77777777" w:rsidTr="00480169">
        <w:tc>
          <w:tcPr>
            <w:tcW w:w="8797" w:type="dxa"/>
          </w:tcPr>
          <w:p w14:paraId="309C4102" w14:textId="18A5ED09" w:rsidR="00C66484" w:rsidRPr="00596816" w:rsidRDefault="00C66484" w:rsidP="00C66484">
            <w:pPr>
              <w:spacing w:after="200"/>
              <w:jc w:val="center"/>
              <w:rPr>
                <w:sz w:val="40"/>
              </w:rPr>
            </w:pPr>
            <w:r w:rsidRPr="00596816">
              <w:rPr>
                <w:sz w:val="40"/>
              </w:rPr>
              <w:t>Northeast College Prep</w:t>
            </w:r>
          </w:p>
          <w:p w14:paraId="3FA81AA9" w14:textId="0304216C" w:rsidR="00C66484" w:rsidRPr="00596816" w:rsidRDefault="00C66484" w:rsidP="00C66484">
            <w:pPr>
              <w:spacing w:after="200"/>
              <w:jc w:val="center"/>
              <w:rPr>
                <w:b/>
              </w:rPr>
            </w:pPr>
            <w:r w:rsidRPr="00596816">
              <w:rPr>
                <w:b/>
              </w:rPr>
              <w:t xml:space="preserve">Policy # </w:t>
            </w:r>
            <w:r>
              <w:rPr>
                <w:b/>
              </w:rPr>
              <w:t>52</w:t>
            </w:r>
            <w:r w:rsidR="00373990">
              <w:rPr>
                <w:b/>
              </w:rPr>
              <w:t>8</w:t>
            </w:r>
            <w:r w:rsidRPr="0059681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1B020B">
              <w:rPr>
                <w:b/>
              </w:rPr>
              <w:t>STUDENT, PARENTAL, FAMILY AND MARITAL NON-DISCRIMINATION</w:t>
            </w:r>
          </w:p>
          <w:p w14:paraId="2F138BFA" w14:textId="58F4EDC9" w:rsidR="00C66484" w:rsidRPr="00596816" w:rsidRDefault="00C66484" w:rsidP="00C66484">
            <w:pPr>
              <w:spacing w:after="200"/>
            </w:pPr>
            <w:r w:rsidRPr="00596816">
              <w:t xml:space="preserve">Adopted:         </w:t>
            </w:r>
            <w:r w:rsidR="001B020B">
              <w:t>6/18</w:t>
            </w:r>
            <w:r>
              <w:t>/14</w:t>
            </w:r>
          </w:p>
          <w:p w14:paraId="1BEDD3B5" w14:textId="04B25FDD" w:rsidR="00C66484" w:rsidRPr="00596816" w:rsidRDefault="00C66484" w:rsidP="00C66484">
            <w:pPr>
              <w:spacing w:after="200"/>
              <w:rPr>
                <w:sz w:val="24"/>
              </w:rPr>
            </w:pPr>
            <w:r w:rsidRPr="00596816">
              <w:t xml:space="preserve">Revision Date: </w:t>
            </w:r>
            <w:r w:rsidRPr="00596816">
              <w:tab/>
              <w:t xml:space="preserve">       </w:t>
            </w:r>
            <w:r>
              <w:t>12/19/17</w:t>
            </w:r>
            <w:r w:rsidRPr="00596816">
              <w:t xml:space="preserve">     </w:t>
            </w:r>
          </w:p>
        </w:tc>
      </w:tr>
    </w:tbl>
    <w:p w14:paraId="58D6859B" w14:textId="67DFA395" w:rsidR="00C66484" w:rsidRPr="00C66484" w:rsidRDefault="00C66484">
      <w:pPr>
        <w:rPr>
          <w:rFonts w:ascii="Times New Roman" w:hAnsi="Times New Roman" w:cs="Times New Roman"/>
          <w:b/>
          <w:bCs/>
        </w:rPr>
      </w:pPr>
    </w:p>
    <w:p w14:paraId="099381D2" w14:textId="4AC80735" w:rsidR="00C66484" w:rsidRDefault="00C66484" w:rsidP="00C66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66484">
        <w:rPr>
          <w:rFonts w:ascii="Times New Roman" w:hAnsi="Times New Roman" w:cs="Times New Roman"/>
          <w:b/>
          <w:bCs/>
        </w:rPr>
        <w:t>PURPOSE</w:t>
      </w:r>
    </w:p>
    <w:p w14:paraId="1C7A6C93" w14:textId="77777777" w:rsidR="0059728A" w:rsidRDefault="0059728A" w:rsidP="0059728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A4645F3" w14:textId="1FA417C6" w:rsidR="00C66484" w:rsidRDefault="0059728A" w:rsidP="0059728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9728A">
        <w:rPr>
          <w:rFonts w:ascii="TimesNewRomanPSMT" w:hAnsi="TimesNewRomanPSMT" w:cs="TimesNewRomanPSMT"/>
          <w:sz w:val="24"/>
          <w:szCs w:val="24"/>
        </w:rPr>
        <w:t xml:space="preserve">Students are protected from discrimination </w:t>
      </w:r>
      <w:proofErr w:type="gramStart"/>
      <w:r w:rsidRPr="0059728A">
        <w:rPr>
          <w:rFonts w:ascii="TimesNewRomanPSMT" w:hAnsi="TimesNewRomanPSMT" w:cs="TimesNewRomanPSMT"/>
          <w:sz w:val="24"/>
          <w:szCs w:val="24"/>
        </w:rPr>
        <w:t>on the basis of</w:t>
      </w:r>
      <w:proofErr w:type="gramEnd"/>
      <w:r w:rsidRPr="0059728A">
        <w:rPr>
          <w:rFonts w:ascii="TimesNewRomanPSMT" w:hAnsi="TimesNewRomanPSMT" w:cs="TimesNewRomanPSMT"/>
          <w:sz w:val="24"/>
          <w:szCs w:val="24"/>
        </w:rPr>
        <w:t xml:space="preserve"> sex and marital status pursuant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9728A">
        <w:rPr>
          <w:rFonts w:ascii="TimesNewRomanPSMT" w:hAnsi="TimesNewRomanPSMT" w:cs="TimesNewRomanPSMT"/>
          <w:sz w:val="24"/>
          <w:szCs w:val="24"/>
        </w:rPr>
        <w:t>to Title IX of the Education Amendments of 1972 and the Minnesota Human Rights Act.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9728A">
        <w:rPr>
          <w:rFonts w:ascii="TimesNewRomanPSMT" w:hAnsi="TimesNewRomanPSMT" w:cs="TimesNewRomanPSMT"/>
          <w:sz w:val="24"/>
          <w:szCs w:val="24"/>
        </w:rPr>
        <w:t xml:space="preserve">This includes discrimination </w:t>
      </w:r>
      <w:proofErr w:type="gramStart"/>
      <w:r w:rsidRPr="0059728A">
        <w:rPr>
          <w:rFonts w:ascii="TimesNewRomanPSMT" w:hAnsi="TimesNewRomanPSMT" w:cs="TimesNewRomanPSMT"/>
          <w:sz w:val="24"/>
          <w:szCs w:val="24"/>
        </w:rPr>
        <w:t>on the basis of</w:t>
      </w:r>
      <w:proofErr w:type="gramEnd"/>
      <w:r w:rsidRPr="0059728A">
        <w:rPr>
          <w:rFonts w:ascii="TimesNewRomanPSMT" w:hAnsi="TimesNewRomanPSMT" w:cs="TimesNewRomanPSMT"/>
          <w:sz w:val="24"/>
          <w:szCs w:val="24"/>
        </w:rPr>
        <w:t xml:space="preserve"> pregnancy. The purpose of this school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9728A">
        <w:rPr>
          <w:rFonts w:ascii="TimesNewRomanPSMT" w:hAnsi="TimesNewRomanPSMT" w:cs="TimesNewRomanPSMT"/>
          <w:sz w:val="24"/>
          <w:szCs w:val="24"/>
        </w:rPr>
        <w:t>district policy is to provide equal educational opportunity for all students and to prohibit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9728A">
        <w:rPr>
          <w:rFonts w:ascii="TimesNewRomanPSMT" w:hAnsi="TimesNewRomanPSMT" w:cs="TimesNewRomanPSMT"/>
          <w:sz w:val="24"/>
          <w:szCs w:val="24"/>
        </w:rPr>
        <w:t>discrimination on the grounds of sex, parental, family, or marital status.</w:t>
      </w:r>
    </w:p>
    <w:p w14:paraId="7530CEA2" w14:textId="77777777" w:rsidR="0059728A" w:rsidRPr="0059728A" w:rsidRDefault="0059728A" w:rsidP="0059728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355F08" w14:textId="77777777" w:rsidR="00F626C2" w:rsidRDefault="00C66484" w:rsidP="00F62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66484">
        <w:rPr>
          <w:rFonts w:ascii="Times New Roman" w:hAnsi="Times New Roman" w:cs="Times New Roman"/>
          <w:b/>
          <w:bCs/>
        </w:rPr>
        <w:t>GENERAL STATEMENT OF POLICY</w:t>
      </w:r>
    </w:p>
    <w:p w14:paraId="6E6DD0BF" w14:textId="77777777" w:rsidR="00F626C2" w:rsidRDefault="00F626C2" w:rsidP="00F626C2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25E7D794" w14:textId="77777777" w:rsidR="00F626C2" w:rsidRDefault="00F626C2" w:rsidP="00F626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626C2">
        <w:rPr>
          <w:rFonts w:ascii="TimesNewRomanPSMT" w:hAnsi="TimesNewRomanPSMT" w:cs="TimesNewRomanPSMT"/>
          <w:sz w:val="24"/>
          <w:szCs w:val="24"/>
        </w:rPr>
        <w:t xml:space="preserve">The school district provides equal educational opportunity for all </w:t>
      </w:r>
      <w:proofErr w:type="gramStart"/>
      <w:r w:rsidRPr="00F626C2">
        <w:rPr>
          <w:rFonts w:ascii="TimesNewRomanPSMT" w:hAnsi="TimesNewRomanPSMT" w:cs="TimesNewRomanPSMT"/>
          <w:sz w:val="24"/>
          <w:szCs w:val="24"/>
        </w:rPr>
        <w:t>students, and</w:t>
      </w:r>
      <w:proofErr w:type="gramEnd"/>
      <w:r w:rsidRPr="00F626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26C2">
        <w:rPr>
          <w:rFonts w:ascii="TimesNewRomanPSMT" w:hAnsi="TimesNewRomanPSMT" w:cs="TimesNewRomanPSMT"/>
          <w:sz w:val="24"/>
          <w:szCs w:val="24"/>
        </w:rPr>
        <w:t>will not apply any rule concerning a student’s actual or potential parental, family,</w:t>
      </w:r>
      <w:r w:rsidRPr="00F626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26C2">
        <w:rPr>
          <w:rFonts w:ascii="TimesNewRomanPSMT" w:hAnsi="TimesNewRomanPSMT" w:cs="TimesNewRomanPSMT"/>
          <w:sz w:val="24"/>
          <w:szCs w:val="24"/>
        </w:rPr>
        <w:t>or marital status which treats students differently on the basis of sex.</w:t>
      </w:r>
    </w:p>
    <w:p w14:paraId="7E2097B2" w14:textId="77777777" w:rsidR="00F626C2" w:rsidRDefault="00F626C2" w:rsidP="00F626C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</w:rPr>
      </w:pPr>
    </w:p>
    <w:p w14:paraId="0C580FB7" w14:textId="77777777" w:rsidR="00F626C2" w:rsidRDefault="00F626C2" w:rsidP="00F626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626C2">
        <w:rPr>
          <w:rFonts w:ascii="TimesNewRomanPSMT" w:hAnsi="TimesNewRomanPSMT" w:cs="TimesNewRomanPSMT"/>
          <w:sz w:val="24"/>
          <w:szCs w:val="24"/>
        </w:rPr>
        <w:t>The school district will not discriminate against any student, or exclude any</w:t>
      </w:r>
      <w:r w:rsidRPr="00F626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26C2">
        <w:rPr>
          <w:rFonts w:ascii="TimesNewRomanPSMT" w:hAnsi="TimesNewRomanPSMT" w:cs="TimesNewRomanPSMT"/>
          <w:sz w:val="24"/>
          <w:szCs w:val="24"/>
        </w:rPr>
        <w:t>student from its education program or activity, including any class or</w:t>
      </w:r>
      <w:r w:rsidRPr="00F626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26C2">
        <w:rPr>
          <w:rFonts w:ascii="TimesNewRomanPSMT" w:hAnsi="TimesNewRomanPSMT" w:cs="TimesNewRomanPSMT"/>
          <w:sz w:val="24"/>
          <w:szCs w:val="24"/>
        </w:rPr>
        <w:t>extracurricular activity, on the basis of such students’ pregnancy, childbirth, false</w:t>
      </w:r>
      <w:r w:rsidRPr="00F626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26C2">
        <w:rPr>
          <w:rFonts w:ascii="TimesNewRomanPSMT" w:hAnsi="TimesNewRomanPSMT" w:cs="TimesNewRomanPSMT"/>
          <w:sz w:val="24"/>
          <w:szCs w:val="24"/>
        </w:rPr>
        <w:t>pregnancy, termination of pregnancy or recovery there from, unless the student</w:t>
      </w:r>
      <w:r w:rsidRPr="00F626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26C2">
        <w:rPr>
          <w:rFonts w:ascii="TimesNewRomanPSMT" w:hAnsi="TimesNewRomanPSMT" w:cs="TimesNewRomanPSMT"/>
          <w:sz w:val="24"/>
          <w:szCs w:val="24"/>
        </w:rPr>
        <w:t>requests voluntarily to participate in a separate portion of the program or activity</w:t>
      </w:r>
      <w:r w:rsidRPr="00F626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26C2">
        <w:rPr>
          <w:rFonts w:ascii="TimesNewRomanPSMT" w:hAnsi="TimesNewRomanPSMT" w:cs="TimesNewRomanPSMT"/>
          <w:sz w:val="24"/>
          <w:szCs w:val="24"/>
        </w:rPr>
        <w:t>of the recipient.</w:t>
      </w:r>
    </w:p>
    <w:p w14:paraId="295FA2D8" w14:textId="77777777" w:rsidR="00F626C2" w:rsidRPr="00F626C2" w:rsidRDefault="00F626C2" w:rsidP="00F626C2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4EF28463" w14:textId="77777777" w:rsidR="00F626C2" w:rsidRDefault="00F626C2" w:rsidP="00F626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626C2">
        <w:rPr>
          <w:rFonts w:ascii="TimesNewRomanPSMT" w:hAnsi="TimesNewRomanPSMT" w:cs="TimesNewRomanPSMT"/>
          <w:sz w:val="24"/>
          <w:szCs w:val="24"/>
        </w:rPr>
        <w:t>The school district may require such a student to obtain the certification of 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626C2">
        <w:rPr>
          <w:rFonts w:ascii="TimesNewRomanPSMT" w:hAnsi="TimesNewRomanPSMT" w:cs="TimesNewRomanPSMT"/>
          <w:sz w:val="24"/>
          <w:szCs w:val="24"/>
        </w:rPr>
        <w:t>physician that the student is physically and emotionally able to continue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626C2">
        <w:rPr>
          <w:rFonts w:ascii="TimesNewRomanPSMT" w:hAnsi="TimesNewRomanPSMT" w:cs="TimesNewRomanPSMT"/>
          <w:sz w:val="24"/>
          <w:szCs w:val="24"/>
        </w:rPr>
        <w:t>participation in the normal education program or activity so long as such 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626C2">
        <w:rPr>
          <w:rFonts w:ascii="TimesNewRomanPSMT" w:hAnsi="TimesNewRomanPSMT" w:cs="TimesNewRomanPSMT"/>
          <w:sz w:val="24"/>
          <w:szCs w:val="24"/>
        </w:rPr>
        <w:t>certification is required of all students for other physical or emotional conditions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626C2">
        <w:rPr>
          <w:rFonts w:ascii="TimesNewRomanPSMT" w:hAnsi="TimesNewRomanPSMT" w:cs="TimesNewRomanPSMT"/>
          <w:sz w:val="24"/>
          <w:szCs w:val="24"/>
        </w:rPr>
        <w:t>requiring the attention of a physician.</w:t>
      </w:r>
    </w:p>
    <w:p w14:paraId="48CDAEF8" w14:textId="77777777" w:rsidR="00F626C2" w:rsidRPr="00F626C2" w:rsidRDefault="00F626C2" w:rsidP="00F626C2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79CB137D" w14:textId="77777777" w:rsidR="00F626C2" w:rsidRDefault="00F626C2" w:rsidP="00F626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626C2">
        <w:rPr>
          <w:rFonts w:ascii="TimesNewRomanPSMT" w:hAnsi="TimesNewRomanPSMT" w:cs="TimesNewRomanPSMT"/>
          <w:sz w:val="24"/>
          <w:szCs w:val="24"/>
        </w:rPr>
        <w:t>The school district will ensure that any separate and voluntary instructional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626C2">
        <w:rPr>
          <w:rFonts w:ascii="TimesNewRomanPSMT" w:hAnsi="TimesNewRomanPSMT" w:cs="TimesNewRomanPSMT"/>
          <w:sz w:val="24"/>
          <w:szCs w:val="24"/>
        </w:rPr>
        <w:t>program is comparable to that offered to non-pregnant students.</w:t>
      </w:r>
    </w:p>
    <w:p w14:paraId="7EB7993F" w14:textId="77777777" w:rsidR="00F626C2" w:rsidRPr="00F626C2" w:rsidRDefault="00F626C2" w:rsidP="00F626C2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5B935503" w14:textId="77777777" w:rsidR="00F626C2" w:rsidRDefault="00F626C2" w:rsidP="00F626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626C2">
        <w:rPr>
          <w:rFonts w:ascii="TimesNewRomanPSMT" w:hAnsi="TimesNewRomanPSMT" w:cs="TimesNewRomanPSMT"/>
          <w:sz w:val="24"/>
          <w:szCs w:val="24"/>
        </w:rPr>
        <w:t>It is the responsibility of every school district employee to comply with this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626C2">
        <w:rPr>
          <w:rFonts w:ascii="TimesNewRomanPSMT" w:hAnsi="TimesNewRomanPSMT" w:cs="TimesNewRomanPSMT"/>
          <w:sz w:val="24"/>
          <w:szCs w:val="24"/>
        </w:rPr>
        <w:t>policy.</w:t>
      </w:r>
    </w:p>
    <w:p w14:paraId="3E31447C" w14:textId="77777777" w:rsidR="00F626C2" w:rsidRPr="00F626C2" w:rsidRDefault="00F626C2" w:rsidP="00F626C2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188CB275" w14:textId="77777777" w:rsidR="00F626C2" w:rsidRDefault="00F626C2" w:rsidP="00F626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626C2">
        <w:rPr>
          <w:rFonts w:ascii="TimesNewRomanPSMT" w:hAnsi="TimesNewRomanPSMT" w:cs="TimesNewRomanPSMT"/>
          <w:sz w:val="24"/>
          <w:szCs w:val="24"/>
        </w:rPr>
        <w:t xml:space="preserve">The school board has the Director as its Title IX coordinators. </w:t>
      </w:r>
      <w:proofErr w:type="gramStart"/>
      <w:r w:rsidRPr="00F626C2">
        <w:rPr>
          <w:rFonts w:ascii="TimesNewRomanPSMT" w:hAnsi="TimesNewRomanPSMT" w:cs="TimesNewRomanPSMT"/>
          <w:sz w:val="24"/>
          <w:szCs w:val="24"/>
        </w:rPr>
        <w:t>These employee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626C2">
        <w:rPr>
          <w:rFonts w:ascii="TimesNewRomanPSMT" w:hAnsi="TimesNewRomanPSMT" w:cs="TimesNewRomanPSMT"/>
          <w:sz w:val="24"/>
          <w:szCs w:val="24"/>
        </w:rPr>
        <w:t>coordinate the school district’s efforts to comply with and carry out its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626C2">
        <w:rPr>
          <w:rFonts w:ascii="TimesNewRomanPSMT" w:hAnsi="TimesNewRomanPSMT" w:cs="TimesNewRomanPSMT"/>
          <w:sz w:val="24"/>
          <w:szCs w:val="24"/>
        </w:rPr>
        <w:t>responsibilities under Title IX.</w:t>
      </w:r>
    </w:p>
    <w:p w14:paraId="68A6EE72" w14:textId="77777777" w:rsidR="00F626C2" w:rsidRPr="00F626C2" w:rsidRDefault="00F626C2" w:rsidP="00F626C2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00B52C3E" w14:textId="77777777" w:rsidR="00D94D1C" w:rsidRDefault="00F626C2" w:rsidP="00D94D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626C2">
        <w:rPr>
          <w:rFonts w:ascii="TimesNewRomanPSMT" w:hAnsi="TimesNewRomanPSMT" w:cs="TimesNewRomanPSMT"/>
          <w:sz w:val="24"/>
          <w:szCs w:val="24"/>
        </w:rPr>
        <w:t>Any student, parent or guardian having questions regarding the application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626C2">
        <w:rPr>
          <w:rFonts w:ascii="TimesNewRomanPSMT" w:hAnsi="TimesNewRomanPSMT" w:cs="TimesNewRomanPSMT"/>
          <w:sz w:val="24"/>
          <w:szCs w:val="24"/>
        </w:rPr>
        <w:t>Title IX and its regulations and/or this policy should discuss them with the Title</w:t>
      </w:r>
      <w:r w:rsidR="00D94D1C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26C2">
        <w:rPr>
          <w:rFonts w:ascii="TimesNewRomanPSMT" w:hAnsi="TimesNewRomanPSMT" w:cs="TimesNewRomanPSMT"/>
          <w:sz w:val="24"/>
          <w:szCs w:val="24"/>
        </w:rPr>
        <w:t>IX</w:t>
      </w:r>
      <w:r w:rsidR="00D94D1C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26C2">
        <w:rPr>
          <w:rFonts w:ascii="TimesNewRomanPSMT" w:hAnsi="TimesNewRomanPSMT" w:cs="TimesNewRomanPSMT"/>
          <w:sz w:val="24"/>
          <w:szCs w:val="24"/>
        </w:rPr>
        <w:lastRenderedPageBreak/>
        <w:t>coordinator (The Director). Questions relating solely to Title IX and its</w:t>
      </w:r>
      <w:r w:rsidR="00D94D1C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D1C">
        <w:rPr>
          <w:rFonts w:ascii="TimesNewRomanPSMT" w:hAnsi="TimesNewRomanPSMT" w:cs="TimesNewRomanPSMT"/>
          <w:sz w:val="24"/>
          <w:szCs w:val="24"/>
        </w:rPr>
        <w:t>regulations may be referred to the Assistant Secretary for Civil Rights of th</w:t>
      </w:r>
      <w:r w:rsidR="00D94D1C">
        <w:rPr>
          <w:rFonts w:ascii="TimesNewRomanPSMT" w:hAnsi="TimesNewRomanPSMT" w:cs="TimesNewRomanPSMT"/>
          <w:sz w:val="24"/>
          <w:szCs w:val="24"/>
        </w:rPr>
        <w:t xml:space="preserve">e </w:t>
      </w:r>
      <w:r w:rsidRPr="00D94D1C">
        <w:rPr>
          <w:rFonts w:ascii="TimesNewRomanPSMT" w:hAnsi="TimesNewRomanPSMT" w:cs="TimesNewRomanPSMT"/>
          <w:sz w:val="24"/>
          <w:szCs w:val="24"/>
        </w:rPr>
        <w:t>United States Department of Education. In the absence of a specific designee, an</w:t>
      </w:r>
      <w:r w:rsidR="00D94D1C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D1C">
        <w:rPr>
          <w:rFonts w:ascii="TimesNewRomanPSMT" w:hAnsi="TimesNewRomanPSMT" w:cs="TimesNewRomanPSMT"/>
          <w:sz w:val="24"/>
          <w:szCs w:val="24"/>
        </w:rPr>
        <w:t>inquiry or complaint should be referred to the superintendent or the school district</w:t>
      </w:r>
      <w:r w:rsidR="00D94D1C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D1C">
        <w:rPr>
          <w:rFonts w:ascii="TimesNewRomanPSMT" w:hAnsi="TimesNewRomanPSMT" w:cs="TimesNewRomanPSMT"/>
          <w:sz w:val="24"/>
          <w:szCs w:val="24"/>
        </w:rPr>
        <w:t>human rights officer.</w:t>
      </w:r>
    </w:p>
    <w:p w14:paraId="416F071D" w14:textId="77777777" w:rsidR="00D94D1C" w:rsidRPr="00D94D1C" w:rsidRDefault="00D94D1C" w:rsidP="00D94D1C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78C804FB" w14:textId="4710F9E6" w:rsidR="00F626C2" w:rsidRPr="00D94D1C" w:rsidRDefault="00F626C2" w:rsidP="00D94D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94D1C">
        <w:rPr>
          <w:rFonts w:ascii="TimesNewRomanPSMT" w:hAnsi="TimesNewRomanPSMT" w:cs="TimesNewRomanPSMT"/>
          <w:sz w:val="24"/>
          <w:szCs w:val="24"/>
        </w:rPr>
        <w:t>Any reports of unlawful discrimination under this policy will be handled,</w:t>
      </w:r>
      <w:r w:rsidR="00D94D1C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D1C">
        <w:rPr>
          <w:rFonts w:ascii="TimesNewRomanPSMT" w:hAnsi="TimesNewRomanPSMT" w:cs="TimesNewRomanPSMT"/>
          <w:sz w:val="24"/>
          <w:szCs w:val="24"/>
        </w:rPr>
        <w:t>investigated and acted upon in the manner specified in Policy 522 – Student Se</w:t>
      </w:r>
      <w:r w:rsidR="00247A81">
        <w:rPr>
          <w:rFonts w:ascii="TimesNewRomanPSMT" w:hAnsi="TimesNewRomanPSMT" w:cs="TimesNewRomanPSMT"/>
          <w:sz w:val="24"/>
          <w:szCs w:val="24"/>
        </w:rPr>
        <w:t xml:space="preserve">x </w:t>
      </w:r>
      <w:r w:rsidRPr="00D94D1C">
        <w:rPr>
          <w:rFonts w:ascii="TimesNewRomanPSMT" w:hAnsi="TimesNewRomanPSMT" w:cs="TimesNewRomanPSMT"/>
          <w:sz w:val="24"/>
          <w:szCs w:val="24"/>
        </w:rPr>
        <w:t>Nondiscrimination.</w:t>
      </w:r>
    </w:p>
    <w:p w14:paraId="1E2FCEB5" w14:textId="77777777" w:rsidR="00247A81" w:rsidRDefault="00247A81" w:rsidP="00247A8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0BFB5E89" w14:textId="77777777" w:rsidR="00247A81" w:rsidRDefault="00F626C2" w:rsidP="00247A8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626C2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Legal References: </w:t>
      </w:r>
      <w:r w:rsidR="00247A8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ab/>
      </w:r>
      <w:r w:rsidRPr="00F626C2">
        <w:rPr>
          <w:rFonts w:ascii="TimesNewRomanPSMT" w:hAnsi="TimesNewRomanPSMT" w:cs="TimesNewRomanPSMT"/>
          <w:sz w:val="24"/>
          <w:szCs w:val="24"/>
        </w:rPr>
        <w:t xml:space="preserve">Minn. Stat. § 363.01 </w:t>
      </w:r>
      <w:r w:rsidRPr="00F626C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et seq. </w:t>
      </w:r>
      <w:r w:rsidRPr="00F626C2">
        <w:rPr>
          <w:rFonts w:ascii="TimesNewRomanPSMT" w:hAnsi="TimesNewRomanPSMT" w:cs="TimesNewRomanPSMT"/>
          <w:sz w:val="24"/>
          <w:szCs w:val="24"/>
        </w:rPr>
        <w:t>(Minnesota Human Rights Act)</w:t>
      </w:r>
    </w:p>
    <w:p w14:paraId="3A73EA2A" w14:textId="77777777" w:rsidR="00606D93" w:rsidRDefault="00F626C2" w:rsidP="00606D93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sz w:val="24"/>
          <w:szCs w:val="24"/>
        </w:rPr>
      </w:pPr>
      <w:r w:rsidRPr="00247A81">
        <w:rPr>
          <w:rFonts w:ascii="TimesNewRomanPSMT" w:hAnsi="TimesNewRomanPSMT" w:cs="TimesNewRomanPSMT"/>
          <w:sz w:val="24"/>
          <w:szCs w:val="24"/>
        </w:rPr>
        <w:t>20 U.S.C. §§ 1681-1688 (Title IX of the Education Amendments</w:t>
      </w:r>
      <w:r w:rsidR="00247A8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7A81">
        <w:rPr>
          <w:rFonts w:ascii="TimesNewRomanPSMT" w:hAnsi="TimesNewRomanPSMT" w:cs="TimesNewRomanPSMT"/>
          <w:sz w:val="24"/>
          <w:szCs w:val="24"/>
        </w:rPr>
        <w:t>of 1972)</w:t>
      </w:r>
    </w:p>
    <w:p w14:paraId="7ED402E2" w14:textId="1D1B46B2" w:rsidR="00F626C2" w:rsidRPr="00F626C2" w:rsidRDefault="00F626C2" w:rsidP="00606D93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sz w:val="24"/>
          <w:szCs w:val="24"/>
        </w:rPr>
      </w:pPr>
      <w:r w:rsidRPr="00F626C2">
        <w:rPr>
          <w:rFonts w:ascii="TimesNewRomanPSMT" w:hAnsi="TimesNewRomanPSMT" w:cs="TimesNewRomanPSMT"/>
          <w:sz w:val="24"/>
          <w:szCs w:val="24"/>
        </w:rPr>
        <w:t>34 C.F.R. Part 106 (Implementing Regulations of Title IX)</w:t>
      </w:r>
    </w:p>
    <w:p w14:paraId="55ACAE3F" w14:textId="77777777" w:rsidR="00606D93" w:rsidRDefault="00606D93" w:rsidP="00247A8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430CE13A" w14:textId="77777777" w:rsidR="00606D93" w:rsidRDefault="00F626C2" w:rsidP="00606D9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626C2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Cross References: </w:t>
      </w:r>
      <w:r w:rsidR="00606D93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ab/>
      </w:r>
      <w:r w:rsidRPr="00F626C2">
        <w:rPr>
          <w:rFonts w:ascii="TimesNewRomanPSMT" w:hAnsi="TimesNewRomanPSMT" w:cs="TimesNewRomanPSMT"/>
          <w:sz w:val="24"/>
          <w:szCs w:val="24"/>
        </w:rPr>
        <w:t>MSBA/MASA Model Policy 102 (Equal Educational Opportunity)</w:t>
      </w:r>
    </w:p>
    <w:p w14:paraId="0A6468B2" w14:textId="77777777" w:rsidR="00606D93" w:rsidRDefault="00F626C2" w:rsidP="00606D93">
      <w:pPr>
        <w:pStyle w:val="ListParagraph"/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sz w:val="24"/>
          <w:szCs w:val="24"/>
        </w:rPr>
      </w:pPr>
      <w:r w:rsidRPr="00606D93">
        <w:rPr>
          <w:rFonts w:ascii="TimesNewRomanPSMT" w:hAnsi="TimesNewRomanPSMT" w:cs="TimesNewRomanPSMT"/>
          <w:sz w:val="24"/>
          <w:szCs w:val="24"/>
        </w:rPr>
        <w:t>MSBA/MASA Model Policy 413 (Harassment and Violence)</w:t>
      </w:r>
    </w:p>
    <w:p w14:paraId="36DA2CFB" w14:textId="49113B9F" w:rsidR="00F626C2" w:rsidRDefault="00F626C2" w:rsidP="00606D93">
      <w:pPr>
        <w:pStyle w:val="ListParagraph"/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sz w:val="24"/>
          <w:szCs w:val="24"/>
        </w:rPr>
      </w:pPr>
      <w:r w:rsidRPr="00F626C2">
        <w:rPr>
          <w:rFonts w:ascii="TimesNewRomanPSMT" w:hAnsi="TimesNewRomanPSMT" w:cs="TimesNewRomanPSMT"/>
          <w:sz w:val="24"/>
          <w:szCs w:val="24"/>
        </w:rPr>
        <w:t>MSBA/MASA Model Policy 522 (Student Sex Nondiscrimination)</w:t>
      </w:r>
    </w:p>
    <w:p w14:paraId="35291D20" w14:textId="77777777" w:rsidR="00606D93" w:rsidRPr="00F626C2" w:rsidRDefault="00606D93" w:rsidP="00606D93">
      <w:pPr>
        <w:pStyle w:val="ListParagraph"/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sz w:val="24"/>
          <w:szCs w:val="24"/>
        </w:rPr>
      </w:pPr>
    </w:p>
    <w:p w14:paraId="4A0C9906" w14:textId="77777777" w:rsidR="00606D93" w:rsidRDefault="00606D93" w:rsidP="00247A8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6AFC6815" w14:textId="054F30B7" w:rsidR="00F626C2" w:rsidRPr="00F626C2" w:rsidRDefault="00F626C2" w:rsidP="00247A8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bookmarkStart w:id="0" w:name="_GoBack"/>
      <w:bookmarkEnd w:id="0"/>
      <w:r w:rsidRPr="00F626C2">
        <w:rPr>
          <w:rFonts w:ascii="TimesNewRomanPS-ItalicMT" w:hAnsi="TimesNewRomanPS-ItalicMT" w:cs="TimesNewRomanPS-ItalicMT"/>
          <w:i/>
          <w:iCs/>
          <w:sz w:val="24"/>
          <w:szCs w:val="24"/>
        </w:rPr>
        <w:t>MSBA/MASA Model Policy 528</w:t>
      </w:r>
    </w:p>
    <w:p w14:paraId="30756D7C" w14:textId="7031D1BB" w:rsidR="00C66484" w:rsidRPr="00C66484" w:rsidRDefault="00F626C2" w:rsidP="00247A81">
      <w:pPr>
        <w:pStyle w:val="ListParagraph"/>
        <w:rPr>
          <w:rFonts w:ascii="Times New Roman" w:hAnsi="Times New Roman" w:cs="Times New Roman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Orig. 1999</w:t>
      </w:r>
    </w:p>
    <w:sectPr w:rsidR="00C66484" w:rsidRPr="00C66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C29C0"/>
    <w:multiLevelType w:val="hybridMultilevel"/>
    <w:tmpl w:val="DE16AB82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DD12EC"/>
    <w:multiLevelType w:val="hybridMultilevel"/>
    <w:tmpl w:val="AF62B4A2"/>
    <w:lvl w:ilvl="0" w:tplc="AD3690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b w:val="0"/>
        <w:bCs w:val="0"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84"/>
    <w:rsid w:val="001B020B"/>
    <w:rsid w:val="00247A81"/>
    <w:rsid w:val="00373990"/>
    <w:rsid w:val="00480169"/>
    <w:rsid w:val="0059728A"/>
    <w:rsid w:val="00606D93"/>
    <w:rsid w:val="00C66484"/>
    <w:rsid w:val="00D94D1C"/>
    <w:rsid w:val="00F01A25"/>
    <w:rsid w:val="00F626C2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6106"/>
  <w15:chartTrackingRefBased/>
  <w15:docId w15:val="{92B4C638-CB02-4C10-9EF6-00CC92E6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48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B79AE9532054597C4622FE82607D7" ma:contentTypeVersion="13" ma:contentTypeDescription="Create a new document." ma:contentTypeScope="" ma:versionID="1ec8b69c0d113e29eea719300718be06">
  <xsd:schema xmlns:xsd="http://www.w3.org/2001/XMLSchema" xmlns:xs="http://www.w3.org/2001/XMLSchema" xmlns:p="http://schemas.microsoft.com/office/2006/metadata/properties" xmlns:ns3="621c762f-5776-4d92-af4e-9fb7f525b00d" xmlns:ns4="ab15d2a6-e9fa-4a87-8414-aede9f77d95b" targetNamespace="http://schemas.microsoft.com/office/2006/metadata/properties" ma:root="true" ma:fieldsID="495269c54f4ee5fd8c0c3cbf4e05baab" ns3:_="" ns4:_="">
    <xsd:import namespace="621c762f-5776-4d92-af4e-9fb7f525b00d"/>
    <xsd:import namespace="ab15d2a6-e9fa-4a87-8414-aede9f77d9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c762f-5776-4d92-af4e-9fb7f525b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5d2a6-e9fa-4a87-8414-aede9f77d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36CFB-E8A1-4A66-991D-111016F88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c762f-5776-4d92-af4e-9fb7f525b00d"/>
    <ds:schemaRef ds:uri="ab15d2a6-e9fa-4a87-8414-aede9f77d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755C8-9602-4F85-93CA-63DC4F826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17694-6981-4E4B-A44B-C36147F54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D4C9C6-F7F0-4C4F-8898-749822F1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Waletski, Jessica M. (TR Finance)</dc:creator>
  <cp:keywords/>
  <dc:description/>
  <cp:lastModifiedBy>Waletski, Jessica M. (TR Finance)</cp:lastModifiedBy>
  <cp:revision>10</cp:revision>
  <dcterms:created xsi:type="dcterms:W3CDTF">2020-10-09T14:18:00Z</dcterms:created>
  <dcterms:modified xsi:type="dcterms:W3CDTF">2020-10-09T14:32:00Z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0x0101009A3B79AE9532054597C4622FE82607D7</vt:lpwstr>
  </property>
</Properties>
</file>